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4B" w:rsidRPr="00232448" w:rsidRDefault="00291B4B" w:rsidP="00291B4B">
      <w:pPr>
        <w:suppressAutoHyphens w:val="0"/>
        <w:spacing w:line="360" w:lineRule="auto"/>
        <w:ind w:right="540" w:firstLine="540"/>
        <w:rPr>
          <w:rFonts w:eastAsia="Calibri"/>
          <w:lang w:eastAsia="en-US"/>
        </w:rPr>
      </w:pPr>
      <w:r w:rsidRPr="00232448">
        <w:rPr>
          <w:rFonts w:eastAsia="Calibri"/>
          <w:b/>
          <w:bCs/>
          <w:lang w:eastAsia="en-US"/>
        </w:rPr>
        <w:t xml:space="preserve">Класс </w:t>
      </w:r>
      <w:r w:rsidRPr="00232448">
        <w:rPr>
          <w:rFonts w:eastAsia="Calibri"/>
          <w:u w:val="single"/>
          <w:lang w:eastAsia="en-US"/>
        </w:rPr>
        <w:t>4</w:t>
      </w:r>
      <w:bookmarkStart w:id="0" w:name="_GoBack"/>
      <w:bookmarkEnd w:id="0"/>
    </w:p>
    <w:p w:rsidR="00291B4B" w:rsidRPr="009A00C3" w:rsidRDefault="00291B4B" w:rsidP="00291B4B">
      <w:pPr>
        <w:suppressAutoHyphens w:val="0"/>
        <w:spacing w:line="360" w:lineRule="auto"/>
        <w:ind w:right="540" w:firstLine="540"/>
        <w:rPr>
          <w:rFonts w:eastAsia="Calibri"/>
          <w:lang w:eastAsia="en-US"/>
        </w:rPr>
      </w:pPr>
      <w:r w:rsidRPr="00232448">
        <w:rPr>
          <w:rFonts w:eastAsia="Calibri"/>
          <w:b/>
          <w:bCs/>
          <w:lang w:eastAsia="en-US"/>
        </w:rPr>
        <w:t>Предмет</w:t>
      </w:r>
      <w:r w:rsidRPr="00232448">
        <w:rPr>
          <w:rFonts w:eastAsia="Calibri"/>
          <w:lang w:eastAsia="en-US"/>
        </w:rPr>
        <w:t xml:space="preserve"> </w:t>
      </w:r>
      <w:r w:rsidRPr="009A00C3">
        <w:rPr>
          <w:rFonts w:eastAsia="Calibri"/>
          <w:lang w:eastAsia="en-US"/>
        </w:rPr>
        <w:t>английский язык</w:t>
      </w:r>
    </w:p>
    <w:p w:rsidR="00291B4B" w:rsidRPr="00232448" w:rsidRDefault="00291B4B" w:rsidP="00291B4B">
      <w:pPr>
        <w:suppressAutoHyphens w:val="0"/>
        <w:spacing w:line="360" w:lineRule="auto"/>
        <w:ind w:firstLine="540"/>
        <w:rPr>
          <w:rFonts w:eastAsia="Calibri"/>
          <w:u w:val="single"/>
          <w:lang w:eastAsia="en-US"/>
        </w:rPr>
      </w:pPr>
      <w:r w:rsidRPr="009A00C3">
        <w:rPr>
          <w:rFonts w:eastAsia="Calibri"/>
          <w:b/>
          <w:bCs/>
          <w:lang w:eastAsia="en-US"/>
        </w:rPr>
        <w:t>УМК</w:t>
      </w:r>
      <w:r w:rsidRPr="009A00C3">
        <w:rPr>
          <w:rFonts w:eastAsia="Calibri"/>
          <w:lang w:eastAsia="en-US"/>
        </w:rPr>
        <w:t xml:space="preserve"> «Английский в фокусе» Ваулиной Ю.Е., Дули Д., </w:t>
      </w:r>
      <w:proofErr w:type="spellStart"/>
      <w:r w:rsidRPr="009A00C3">
        <w:rPr>
          <w:rFonts w:eastAsia="Calibri"/>
          <w:lang w:eastAsia="en-US"/>
        </w:rPr>
        <w:t>Подоляко</w:t>
      </w:r>
      <w:proofErr w:type="spellEnd"/>
      <w:r w:rsidRPr="009A00C3">
        <w:rPr>
          <w:rFonts w:eastAsia="Calibri"/>
          <w:lang w:eastAsia="en-US"/>
        </w:rPr>
        <w:t xml:space="preserve"> О.Е., Эванс В</w:t>
      </w:r>
      <w:r w:rsidRPr="00232448">
        <w:rPr>
          <w:rFonts w:eastAsia="Calibri"/>
          <w:u w:val="single"/>
          <w:lang w:eastAsia="en-US"/>
        </w:rPr>
        <w:t>.</w:t>
      </w:r>
    </w:p>
    <w:p w:rsidR="00291B4B" w:rsidRDefault="00291B4B" w:rsidP="00291B4B">
      <w:pPr>
        <w:suppressAutoHyphens w:val="0"/>
        <w:spacing w:line="259" w:lineRule="auto"/>
        <w:ind w:firstLine="567"/>
      </w:pPr>
      <w:r w:rsidRPr="00232448">
        <w:rPr>
          <w:rFonts w:eastAsia="Calibri"/>
          <w:b/>
          <w:bCs/>
          <w:color w:val="000000"/>
          <w:lang w:eastAsia="en-US"/>
        </w:rPr>
        <w:t>Тема</w:t>
      </w:r>
      <w:r w:rsidRPr="009A00C3">
        <w:rPr>
          <w:rFonts w:eastAsia="Calibri"/>
          <w:b/>
          <w:bCs/>
          <w:color w:val="000000"/>
          <w:lang w:eastAsia="en-US"/>
        </w:rPr>
        <w:t xml:space="preserve"> </w:t>
      </w:r>
      <w:r w:rsidRPr="00232448">
        <w:rPr>
          <w:rFonts w:eastAsia="Calibri"/>
          <w:b/>
          <w:bCs/>
          <w:color w:val="000000"/>
          <w:lang w:eastAsia="en-US"/>
        </w:rPr>
        <w:t>урока</w:t>
      </w:r>
      <w:r w:rsidRPr="009A00C3">
        <w:rPr>
          <w:rFonts w:eastAsia="Calibri"/>
          <w:lang w:eastAsia="en-US"/>
        </w:rPr>
        <w:t xml:space="preserve"> </w:t>
      </w:r>
      <w:r w:rsidRPr="001D57A1">
        <w:t xml:space="preserve">Рабочий день. Работаем и играем.  </w:t>
      </w:r>
    </w:p>
    <w:p w:rsidR="00291B4B" w:rsidRPr="00232448" w:rsidRDefault="00291B4B" w:rsidP="00291B4B">
      <w:pPr>
        <w:suppressAutoHyphens w:val="0"/>
        <w:spacing w:line="259" w:lineRule="auto"/>
        <w:ind w:firstLine="567"/>
        <w:rPr>
          <w:rFonts w:eastAsia="Calibri"/>
          <w:lang w:eastAsia="en-US"/>
        </w:rPr>
      </w:pPr>
    </w:p>
    <w:tbl>
      <w:tblPr>
        <w:tblW w:w="0" w:type="auto"/>
        <w:tblInd w:w="-5" w:type="dxa"/>
        <w:tblLayout w:type="fixed"/>
        <w:tblLook w:val="0000" w:firstRow="0" w:lastRow="0" w:firstColumn="0" w:lastColumn="0" w:noHBand="0" w:noVBand="0"/>
      </w:tblPr>
      <w:tblGrid>
        <w:gridCol w:w="648"/>
        <w:gridCol w:w="7020"/>
        <w:gridCol w:w="1090"/>
      </w:tblGrid>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pPr>
              <w:spacing w:line="360" w:lineRule="auto"/>
              <w:jc w:val="center"/>
              <w:rPr>
                <w:b/>
                <w:bCs/>
              </w:rPr>
            </w:pPr>
            <w:r>
              <w:rPr>
                <w:b/>
                <w:bCs/>
              </w:rPr>
              <w:t>№</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pPr>
              <w:spacing w:line="360" w:lineRule="auto"/>
              <w:jc w:val="center"/>
              <w:rPr>
                <w:b/>
                <w:bCs/>
              </w:rPr>
            </w:pPr>
            <w:r>
              <w:rPr>
                <w:b/>
                <w:bCs/>
              </w:rPr>
              <w:t>Этапы анализа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pPr>
              <w:spacing w:line="360" w:lineRule="auto"/>
              <w:jc w:val="center"/>
            </w:pPr>
            <w:r>
              <w:rPr>
                <w:b/>
                <w:bCs/>
              </w:rPr>
              <w:t>Баллы</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pPr>
              <w:rPr>
                <w:b/>
                <w:i/>
              </w:rPr>
            </w:pPr>
            <w:r>
              <w:t>1</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rPr>
                <w:b/>
                <w:i/>
              </w:rPr>
              <w:t>Основные цели урока</w:t>
            </w:r>
            <w:r>
              <w:t>:</w:t>
            </w:r>
            <w:r>
              <w:rPr>
                <w:b/>
                <w:i/>
              </w:rPr>
              <w:t xml:space="preserve"> </w:t>
            </w:r>
            <w:r>
              <w:t>образовательная,</w:t>
            </w:r>
            <w:r>
              <w:rPr>
                <w:b/>
                <w:i/>
              </w:rPr>
              <w:t xml:space="preserve"> </w:t>
            </w:r>
            <w:r>
              <w:t>развивающая,</w:t>
            </w:r>
            <w:r>
              <w:rPr>
                <w:b/>
                <w:i/>
              </w:rPr>
              <w:t xml:space="preserve"> </w:t>
            </w:r>
            <w:r>
              <w:t>воспитательная. Прослеживается ли реализация поставленных учителем целей урока?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pPr>
              <w:rPr>
                <w:b/>
                <w:i/>
              </w:rPr>
            </w:pPr>
            <w:r>
              <w:t>2</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rPr>
                <w:b/>
                <w:i/>
              </w:rPr>
              <w:t>Организация урока</w:t>
            </w:r>
            <w:r>
              <w:t>:</w:t>
            </w:r>
            <w:r>
              <w:rPr>
                <w:b/>
                <w:i/>
              </w:rPr>
              <w:t xml:space="preserve"> </w:t>
            </w:r>
            <w:r>
              <w:t>тип урока,</w:t>
            </w:r>
            <w:r>
              <w:rPr>
                <w:b/>
                <w:i/>
              </w:rPr>
              <w:t xml:space="preserve"> </w:t>
            </w:r>
            <w:r>
              <w:t>структура урока,</w:t>
            </w:r>
            <w:r>
              <w:rPr>
                <w:b/>
                <w:i/>
              </w:rPr>
              <w:t xml:space="preserve"> </w:t>
            </w:r>
            <w:r>
              <w:t>этапы,</w:t>
            </w:r>
            <w:r>
              <w:rPr>
                <w:b/>
                <w:i/>
              </w:rPr>
              <w:t xml:space="preserve"> </w:t>
            </w:r>
            <w:r>
              <w:t>их логическая последовательность и дозировка во времени, соответствие построения урока его содержанию и поставленной цели.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3</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Каким образом учитель обеспечивает мотивацию изучения данной темы (учебный материал)</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pPr>
              <w:rPr>
                <w:b/>
                <w:bCs/>
                <w:i/>
                <w:iCs/>
              </w:rPr>
            </w:pPr>
            <w:r>
              <w:t>4</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rPr>
                <w:b/>
                <w:bCs/>
                <w:i/>
                <w:iCs/>
              </w:rPr>
              <w:t>Соответствие урока требованиям ФГОС</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pPr>
              <w:snapToGrid w:val="0"/>
            </w:pP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4.1</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Ориентация на новые образовательные стандарты.</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4.2</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Нацеленность деятельности на формирование УУД</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4.3</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 xml:space="preserve">Использование современных технологий: </w:t>
            </w:r>
            <w:proofErr w:type="gramStart"/>
            <w:r>
              <w:t>проектная</w:t>
            </w:r>
            <w:proofErr w:type="gramEnd"/>
            <w:r>
              <w:t>, исследовательская, ИКТ, др.</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1</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pPr>
              <w:rPr>
                <w:b/>
                <w:bCs/>
                <w:i/>
                <w:iCs/>
              </w:rPr>
            </w:pPr>
            <w:r>
              <w:t>5</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rPr>
                <w:b/>
                <w:bCs/>
                <w:i/>
                <w:iCs/>
              </w:rPr>
              <w:t>Содержание урока: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pPr>
              <w:snapToGrid w:val="0"/>
            </w:pP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5.1</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Научная правильность освещения материала на уроке, его соответствие возрастным особенностям</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5.2</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Соответствие содержания урока требованиям программы.</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5.3</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Связь теории с практикой, использование жизненного опыта учеников с целью развития познавательной активности и самостоятельности.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1</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5.4</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 xml:space="preserve">Связь изучаемого материала с ранее пройденным материалом, </w:t>
            </w:r>
            <w:proofErr w:type="spellStart"/>
            <w:r>
              <w:t>межпредметные</w:t>
            </w:r>
            <w:proofErr w:type="spellEnd"/>
            <w:r>
              <w:t xml:space="preserve"> связи.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pPr>
              <w:rPr>
                <w:b/>
                <w:bCs/>
                <w:i/>
                <w:iCs/>
              </w:rPr>
            </w:pPr>
            <w:r>
              <w:t>6</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rPr>
                <w:b/>
                <w:bCs/>
                <w:i/>
                <w:iCs/>
              </w:rPr>
              <w:t>Методика проведения урока: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pPr>
              <w:snapToGrid w:val="0"/>
            </w:pP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6.1</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Актуализация знаний и способов деятельности учащихся. Постановка проблемных вопросов, создание проблемной ситуации.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1</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6.2</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Какие методы использовались учителем. Какова доля репродуктивной и поисковой (исследовательской) деятельности? Сравни соотношение: примерное число заданий репродуктивного характера: («прочитай», «перескажи», «повтори», «вспомни») и примерное число заданий поискового характер</w:t>
            </w:r>
            <w:proofErr w:type="gramStart"/>
            <w:r>
              <w:t>а(</w:t>
            </w:r>
            <w:proofErr w:type="gramEnd"/>
            <w:r>
              <w:t xml:space="preserve"> «докажи», «объясни», «оцени», «сравни», «найди ошибку»)</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1</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6.3</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Соотношение деятельности учителя и деятельности учащихся. Объем и характер самостоятельной работы</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6.4</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Какие из перечисленных методов познания использует учитель (наблюдение, опыт, поиск информации, сравнение, чтение и т. д.)</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1</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6.5</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Применение диалоговых форм общения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6.6</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Создание нестандартных ситуаций при использовании знаний учащихся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1</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6.7</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Осуществление обратной связи: ученик-учитель.</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6.8</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Сочетание фронтальной, групповой и индивидуальной работы.</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6.9</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 xml:space="preserve">Реализация дифференцированного обучения. Наличие заданий </w:t>
            </w:r>
            <w:r>
              <w:lastRenderedPageBreak/>
              <w:t xml:space="preserve">для детей разного уровня </w:t>
            </w:r>
            <w:proofErr w:type="spellStart"/>
            <w:r>
              <w:t>обученности</w:t>
            </w:r>
            <w:proofErr w:type="spellEnd"/>
            <w: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lastRenderedPageBreak/>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lastRenderedPageBreak/>
              <w:t>6.10</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Средства обучения. Целесообразность их использования в соответствии с темой, этапом обучения.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6.11</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Использование наглядного материала: в качестве иллюстрирования, для эмоциональной поддержки, для решения обучающих задач. Наглядный материал избыточен, достаточен, уместен, недостаточен.</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6.12</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Формирование навыков самоконтроля и самооценки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pPr>
              <w:rPr>
                <w:b/>
                <w:bCs/>
                <w:i/>
                <w:iCs/>
              </w:rPr>
            </w:pPr>
            <w:r>
              <w:t>7</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rPr>
                <w:b/>
                <w:bCs/>
                <w:i/>
                <w:iCs/>
              </w:rPr>
              <w:t>Психологические основы урока: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pPr>
              <w:snapToGrid w:val="0"/>
            </w:pP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7.1</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Учёт учителем уровней актуального развития учащихся и зоны их ближайшего развития</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7.2</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Реализация развивающей функции обучения. Развитие качеств: восприятия, внимания, воображения, памяти, мышления, речи.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7.3</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Ритмичность урока: чередование материала разной степени трудности, разнообразие видов учебной деятельности.</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7.4</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Наличие психологических пауз и разрядки эмоциональной сферы урока.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8</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Домашнее задание: оптимальный объём, доступность инструктажа, дифференциация, представление права выбора</w:t>
            </w:r>
            <w:proofErr w:type="gramStart"/>
            <w:r>
              <w:t>..</w:t>
            </w:r>
            <w:proofErr w:type="gramEnd"/>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2</w:t>
            </w:r>
          </w:p>
        </w:tc>
      </w:tr>
      <w:tr w:rsidR="00291B4B" w:rsidTr="00357EA7">
        <w:tc>
          <w:tcPr>
            <w:tcW w:w="648" w:type="dxa"/>
            <w:tcBorders>
              <w:top w:val="single" w:sz="4" w:space="0" w:color="000000"/>
              <w:left w:val="single" w:sz="4" w:space="0" w:color="000000"/>
              <w:bottom w:val="single" w:sz="4" w:space="0" w:color="000000"/>
            </w:tcBorders>
            <w:shd w:val="clear" w:color="auto" w:fill="auto"/>
          </w:tcPr>
          <w:p w:rsidR="00291B4B" w:rsidRDefault="00291B4B" w:rsidP="00357EA7">
            <w:r>
              <w:t>9</w:t>
            </w:r>
          </w:p>
        </w:tc>
        <w:tc>
          <w:tcPr>
            <w:tcW w:w="7020" w:type="dxa"/>
            <w:tcBorders>
              <w:top w:val="single" w:sz="4" w:space="0" w:color="000000"/>
              <w:left w:val="single" w:sz="4" w:space="0" w:color="000000"/>
              <w:bottom w:val="single" w:sz="4" w:space="0" w:color="000000"/>
            </w:tcBorders>
            <w:shd w:val="clear" w:color="auto" w:fill="auto"/>
          </w:tcPr>
          <w:p w:rsidR="00291B4B" w:rsidRDefault="00291B4B" w:rsidP="00357EA7">
            <w:r>
              <w:t>Наличие элементов нового в педагогической деятельности учителя (отсутствия шаблона)</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1</w:t>
            </w:r>
          </w:p>
        </w:tc>
      </w:tr>
      <w:tr w:rsidR="00291B4B" w:rsidTr="00357EA7">
        <w:tc>
          <w:tcPr>
            <w:tcW w:w="7668" w:type="dxa"/>
            <w:gridSpan w:val="2"/>
            <w:tcBorders>
              <w:top w:val="single" w:sz="4" w:space="0" w:color="000000"/>
              <w:left w:val="single" w:sz="4" w:space="0" w:color="000000"/>
              <w:bottom w:val="single" w:sz="4" w:space="0" w:color="000000"/>
            </w:tcBorders>
            <w:shd w:val="clear" w:color="auto" w:fill="auto"/>
          </w:tcPr>
          <w:p w:rsidR="00291B4B" w:rsidRDefault="00291B4B" w:rsidP="00357EA7">
            <w:pPr>
              <w:jc w:val="right"/>
            </w:pPr>
            <w:r>
              <w:t>Итого</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r>
              <w:t>48</w:t>
            </w:r>
          </w:p>
        </w:tc>
      </w:tr>
      <w:tr w:rsidR="00291B4B" w:rsidTr="00357EA7">
        <w:tc>
          <w:tcPr>
            <w:tcW w:w="8758" w:type="dxa"/>
            <w:gridSpan w:val="3"/>
            <w:tcBorders>
              <w:top w:val="single" w:sz="4" w:space="0" w:color="000000"/>
              <w:left w:val="single" w:sz="4" w:space="0" w:color="000000"/>
              <w:bottom w:val="single" w:sz="4" w:space="0" w:color="000000"/>
              <w:right w:val="single" w:sz="4" w:space="0" w:color="000000"/>
            </w:tcBorders>
            <w:shd w:val="clear" w:color="auto" w:fill="auto"/>
          </w:tcPr>
          <w:p w:rsidR="00291B4B" w:rsidRDefault="00291B4B" w:rsidP="00357EA7">
            <w:pPr>
              <w:jc w:val="both"/>
            </w:pPr>
            <w:r>
              <w:t>За каждый критерий ставятся баллы от 0 до 2: 0 – критерий отсутствует, 1 – проявляется частично, 2- в полном объёме.</w:t>
            </w:r>
          </w:p>
        </w:tc>
      </w:tr>
    </w:tbl>
    <w:p w:rsidR="00291B4B" w:rsidRPr="00232448" w:rsidRDefault="00291B4B" w:rsidP="00291B4B">
      <w:pPr>
        <w:suppressAutoHyphens w:val="0"/>
        <w:spacing w:after="160" w:line="360" w:lineRule="auto"/>
        <w:ind w:firstLine="540"/>
        <w:rPr>
          <w:rFonts w:eastAsia="Calibri"/>
          <w:b/>
          <w:bCs/>
          <w:color w:val="000000"/>
          <w:lang w:eastAsia="en-US"/>
        </w:rPr>
      </w:pP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Задачи урока соответствуют его месту в учебной теме, требованию программы обучения иностранному языку и учебного плана для данного класса.</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Структура урока соответствовала требованиям современного урока по ФГОС, с использованием ИКТ.   Учтены возрастные и психологические особенности учащихся. В содержании урока четко просматриваются элементы обучения школьников УУД: определение цели урока, исходя из проблемной ситуации. </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 xml:space="preserve">Учитель применял системно – </w:t>
      </w:r>
      <w:proofErr w:type="spellStart"/>
      <w:r w:rsidRPr="00232448">
        <w:rPr>
          <w:rFonts w:eastAsia="Calibri"/>
          <w:lang w:eastAsia="en-US"/>
        </w:rPr>
        <w:t>деятельностный</w:t>
      </w:r>
      <w:proofErr w:type="spellEnd"/>
      <w:r w:rsidRPr="00232448">
        <w:rPr>
          <w:rFonts w:eastAsia="Calibri"/>
          <w:lang w:eastAsia="en-US"/>
        </w:rPr>
        <w:t xml:space="preserve"> метод обучения, реализованный в учебной деятельности. Учителем соблюден принцип последовательности формирования ЗУН, был переход от простых заданий </w:t>
      </w:r>
      <w:proofErr w:type="gramStart"/>
      <w:r w:rsidRPr="00232448">
        <w:rPr>
          <w:rFonts w:eastAsia="Calibri"/>
          <w:lang w:eastAsia="en-US"/>
        </w:rPr>
        <w:t>к</w:t>
      </w:r>
      <w:proofErr w:type="gramEnd"/>
      <w:r w:rsidRPr="00232448">
        <w:rPr>
          <w:rFonts w:eastAsia="Calibri"/>
          <w:lang w:eastAsia="en-US"/>
        </w:rPr>
        <w:t xml:space="preserve"> сложным.</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Взаимодействие учителя и учащихся осуществлялось по следующим схемам: «Учитель – ученик; ученик – ученик».</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Отобранное содержание урока, оборудование урока, организация активной мыслительной деятельности учащихся на всех этапах урока, разные формы организаций учебной деятельности школьников, применение словесных, визуальных методов, ИКТ способствовали достижению образовательных целей урока, стимулировали познавательные интересы учащихся.</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lastRenderedPageBreak/>
        <w:t>В ходе организационного момента учитель выяснил количество отсутствующих учеников и причины их отсутствия с целью погружения учащихся в языковую среду и концентрации их внимания.</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 xml:space="preserve">В ходе речевой зарядки ученики повторили лексику, которая затем была использована в упражнениях. </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Для повторения лексического и грамматического материала учителем были целесообразно выбраны комбинированные упражнения: лексико-фонетические, фонетико-грамматические, лексико-грамматические.</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Учитель сопровождал каждое задание коммуникативными установками и, в случае необходимости, примерами выполнения.</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Учитель следил за равным вовлечением учеников в работу на уроке, поддерживая их заинтересованность.</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Содержание домашнего задания было соотнесено с тематикой урока и видами деятельности на уроке. Объем домашнего задания соответствовал возрастным характеристикам класса и уровню его подготовленности.</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Методическая структура урока соответствовала его целям и условиям обучения: акцент был сделан на достижении основной цели урока – совершенствование умения и навыки чтения.</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Урок вёлся в рамках здоровье сберегающих технологий: создана ситуация психологического комфорта для детей, была проведена физкультминутка.</w:t>
      </w:r>
    </w:p>
    <w:p w:rsidR="00291B4B" w:rsidRPr="00232448" w:rsidRDefault="00291B4B" w:rsidP="00291B4B">
      <w:pPr>
        <w:suppressAutoHyphens w:val="0"/>
        <w:spacing w:line="360" w:lineRule="auto"/>
        <w:ind w:firstLine="539"/>
        <w:jc w:val="both"/>
        <w:rPr>
          <w:rFonts w:eastAsia="Calibri"/>
          <w:lang w:eastAsia="en-US"/>
        </w:rPr>
      </w:pPr>
      <w:r w:rsidRPr="00232448">
        <w:rPr>
          <w:rFonts w:eastAsia="Calibri"/>
          <w:lang w:eastAsia="en-US"/>
        </w:rPr>
        <w:t>Все этапы урока были пройдены. Временные рамки урока соблюдены. Считаю, что каждая из целей урока была достигнута.</w:t>
      </w:r>
    </w:p>
    <w:p w:rsidR="00291B4B" w:rsidRPr="00232448" w:rsidRDefault="00291B4B" w:rsidP="00291B4B">
      <w:pPr>
        <w:suppressAutoHyphens w:val="0"/>
        <w:spacing w:after="160" w:line="360" w:lineRule="auto"/>
        <w:ind w:firstLine="540"/>
        <w:jc w:val="both"/>
        <w:rPr>
          <w:rFonts w:eastAsia="Calibri"/>
          <w:lang w:eastAsia="en-US"/>
        </w:rPr>
      </w:pPr>
    </w:p>
    <w:p w:rsidR="00291B4B" w:rsidRPr="00232448" w:rsidRDefault="00291B4B" w:rsidP="00291B4B">
      <w:pPr>
        <w:suppressAutoHyphens w:val="0"/>
        <w:spacing w:after="160" w:line="360" w:lineRule="auto"/>
        <w:ind w:firstLine="540"/>
        <w:jc w:val="both"/>
        <w:rPr>
          <w:rFonts w:eastAsia="Calibri"/>
          <w:lang w:eastAsia="en-US"/>
        </w:rPr>
      </w:pPr>
    </w:p>
    <w:p w:rsidR="00291B4B" w:rsidRPr="00232448" w:rsidRDefault="00291B4B" w:rsidP="00291B4B">
      <w:pPr>
        <w:suppressAutoHyphens w:val="0"/>
        <w:spacing w:after="160" w:line="360" w:lineRule="auto"/>
        <w:ind w:firstLine="540"/>
        <w:jc w:val="both"/>
        <w:rPr>
          <w:rFonts w:eastAsia="Calibri"/>
          <w:lang w:eastAsia="en-US"/>
        </w:rPr>
      </w:pPr>
    </w:p>
    <w:p w:rsidR="00DB30CD" w:rsidRDefault="00DB30CD"/>
    <w:sectPr w:rsidR="00DB30C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F9" w:rsidRDefault="006410F9" w:rsidP="00291B4B">
      <w:r>
        <w:separator/>
      </w:r>
    </w:p>
  </w:endnote>
  <w:endnote w:type="continuationSeparator" w:id="0">
    <w:p w:rsidR="006410F9" w:rsidRDefault="006410F9" w:rsidP="0029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F9" w:rsidRDefault="006410F9" w:rsidP="00291B4B">
      <w:r>
        <w:separator/>
      </w:r>
    </w:p>
  </w:footnote>
  <w:footnote w:type="continuationSeparator" w:id="0">
    <w:p w:rsidR="006410F9" w:rsidRDefault="006410F9" w:rsidP="0029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4B" w:rsidRDefault="00291B4B" w:rsidP="00291B4B">
    <w:pPr>
      <w:pStyle w:val="a3"/>
      <w:jc w:val="right"/>
    </w:pPr>
    <w:r>
      <w:t>Иванченко Олеся Васильевна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32"/>
    <w:rsid w:val="000E7E32"/>
    <w:rsid w:val="00291B4B"/>
    <w:rsid w:val="006410F9"/>
    <w:rsid w:val="00DB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B4B"/>
    <w:pPr>
      <w:tabs>
        <w:tab w:val="center" w:pos="4677"/>
        <w:tab w:val="right" w:pos="9355"/>
      </w:tabs>
    </w:pPr>
  </w:style>
  <w:style w:type="character" w:customStyle="1" w:styleId="a4">
    <w:name w:val="Верхний колонтитул Знак"/>
    <w:basedOn w:val="a0"/>
    <w:link w:val="a3"/>
    <w:uiPriority w:val="99"/>
    <w:rsid w:val="00291B4B"/>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291B4B"/>
    <w:pPr>
      <w:tabs>
        <w:tab w:val="center" w:pos="4677"/>
        <w:tab w:val="right" w:pos="9355"/>
      </w:tabs>
    </w:pPr>
  </w:style>
  <w:style w:type="character" w:customStyle="1" w:styleId="a6">
    <w:name w:val="Нижний колонтитул Знак"/>
    <w:basedOn w:val="a0"/>
    <w:link w:val="a5"/>
    <w:uiPriority w:val="99"/>
    <w:rsid w:val="00291B4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B4B"/>
    <w:pPr>
      <w:tabs>
        <w:tab w:val="center" w:pos="4677"/>
        <w:tab w:val="right" w:pos="9355"/>
      </w:tabs>
    </w:pPr>
  </w:style>
  <w:style w:type="character" w:customStyle="1" w:styleId="a4">
    <w:name w:val="Верхний колонтитул Знак"/>
    <w:basedOn w:val="a0"/>
    <w:link w:val="a3"/>
    <w:uiPriority w:val="99"/>
    <w:rsid w:val="00291B4B"/>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291B4B"/>
    <w:pPr>
      <w:tabs>
        <w:tab w:val="center" w:pos="4677"/>
        <w:tab w:val="right" w:pos="9355"/>
      </w:tabs>
    </w:pPr>
  </w:style>
  <w:style w:type="character" w:customStyle="1" w:styleId="a6">
    <w:name w:val="Нижний колонтитул Знак"/>
    <w:basedOn w:val="a0"/>
    <w:link w:val="a5"/>
    <w:uiPriority w:val="99"/>
    <w:rsid w:val="00291B4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Company>SPecialiST RePack</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2022-09-21T08:58:00Z</dcterms:created>
  <dcterms:modified xsi:type="dcterms:W3CDTF">2022-09-21T08:58:00Z</dcterms:modified>
</cp:coreProperties>
</file>